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18" w:rsidRPr="00714318" w:rsidRDefault="00714318" w:rsidP="00714318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Toc119428341"/>
      <w:bookmarkStart w:id="1" w:name="_Toc15890874"/>
      <w:bookmarkStart w:id="2" w:name="_Toc127332920"/>
      <w:bookmarkStart w:id="3" w:name="_Toc127616658"/>
      <w:bookmarkStart w:id="4" w:name="_Toc128200363"/>
      <w:r w:rsidRPr="00714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УТВЕРЖДАЮ:</w:t>
      </w:r>
    </w:p>
    <w:p w:rsidR="00714318" w:rsidRPr="00714318" w:rsidRDefault="00714318" w:rsidP="0071431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Глава рабочего поселка Посевная Черепановского района Новосибирской области</w:t>
      </w:r>
    </w:p>
    <w:p w:rsidR="00714318" w:rsidRPr="00714318" w:rsidRDefault="00714318" w:rsidP="00714318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_____________ А. С. Журавлев</w:t>
      </w:r>
    </w:p>
    <w:p w:rsidR="00714318" w:rsidRPr="00714318" w:rsidRDefault="00714318" w:rsidP="00714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«___» _____________ 2018</w:t>
      </w:r>
      <w:r w:rsidRPr="00714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Аукционная документация</w:t>
      </w: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318" w:rsidRPr="00714318" w:rsidRDefault="00714318" w:rsidP="00714318">
      <w:pPr>
        <w:tabs>
          <w:tab w:val="left" w:pos="7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открытого аукциона по продаже  муниципального имущества:</w:t>
      </w:r>
    </w:p>
    <w:p w:rsidR="004F2C59" w:rsidRPr="004F2C59" w:rsidRDefault="004F2C59" w:rsidP="004F2C59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котельной</w:t>
      </w:r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нежилое, </w:t>
      </w:r>
      <w:r w:rsidRPr="004F2C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977D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1972</w:t>
      </w:r>
      <w:r w:rsidRPr="004F2C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 ввода в эксплуатацию, площад</w:t>
      </w:r>
      <w:r w:rsidR="00977D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ь  858,3 </w:t>
      </w:r>
      <w:proofErr w:type="spellStart"/>
      <w:r w:rsidR="004D0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кв.м</w:t>
      </w:r>
      <w:proofErr w:type="spellEnd"/>
      <w:r w:rsidR="004D0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., без учета прав на землю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2C2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тажность: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F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(местоположение): Новосибирская область, </w:t>
      </w:r>
      <w:proofErr w:type="spellStart"/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Черепаново,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Островского №59 «а»/15.</w:t>
      </w:r>
    </w:p>
    <w:p w:rsidR="00714318" w:rsidRPr="00714318" w:rsidRDefault="00714318" w:rsidP="002C2D1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имущество принадлежит муниципальному образованию </w:t>
      </w:r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праве постоянного (бессрочного) пользования, что </w:t>
      </w:r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Техническим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паспортом </w:t>
      </w:r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26.07.2006г., Решением 4 сессии Совета депутатов МО </w:t>
      </w:r>
      <w:proofErr w:type="spellStart"/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 </w:t>
      </w:r>
      <w:proofErr w:type="spellStart"/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НСО от 27.05.2005г</w:t>
      </w:r>
      <w:proofErr w:type="gramStart"/>
      <w:r w:rsidR="004F2C5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2C2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4318" w:rsidRPr="00AE1A08" w:rsidRDefault="002C2D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14318"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аукциона: </w:t>
      </w:r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рабочего поселка Посевная </w:t>
      </w:r>
      <w:proofErr w:type="spellStart"/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области.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заказчика аукциона: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Островского, 58.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администрация 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организатора аукциона: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633511, Новосибирская область,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Посевная, ул. Островского, 58.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sppos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14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14318" w:rsidRPr="00714318" w:rsidRDefault="00714318" w:rsidP="00714318">
      <w:pPr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(838345)48-137, 48-311</w:t>
      </w:r>
    </w:p>
    <w:p w:rsidR="00714318" w:rsidRPr="00714318" w:rsidRDefault="00714318" w:rsidP="00714318">
      <w:pPr>
        <w:tabs>
          <w:tab w:val="left" w:pos="9356"/>
          <w:tab w:val="left" w:pos="9498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4318" w:rsidRPr="00714318" w:rsidRDefault="00714318" w:rsidP="00714318">
      <w:pPr>
        <w:tabs>
          <w:tab w:val="left" w:pos="9356"/>
          <w:tab w:val="left" w:pos="9498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4318" w:rsidRPr="00714318" w:rsidRDefault="00714318" w:rsidP="00714318">
      <w:pPr>
        <w:tabs>
          <w:tab w:val="left" w:pos="9356"/>
          <w:tab w:val="left" w:pos="9498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tabs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0D" w:rsidRPr="00714318" w:rsidRDefault="007C340D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spacing w:before="48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</w:pPr>
      <w:bookmarkStart w:id="5" w:name="_Toc232909660"/>
      <w:bookmarkEnd w:id="0"/>
      <w:bookmarkEnd w:id="1"/>
      <w:bookmarkEnd w:id="2"/>
      <w:bookmarkEnd w:id="3"/>
      <w:bookmarkEnd w:id="4"/>
      <w:r w:rsidRPr="00714318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lastRenderedPageBreak/>
        <w:t>РАЗДЕЛ 1</w:t>
      </w:r>
      <w:bookmarkStart w:id="6" w:name="_Toc221338495"/>
      <w:r w:rsidRPr="00714318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t>. ОБЩИЕ ПОЛОЖЕНИЯ</w:t>
      </w:r>
      <w:bookmarkEnd w:id="5"/>
      <w:bookmarkEnd w:id="6"/>
    </w:p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19349428"/>
      <w:bookmarkStart w:id="8" w:name="_Toc119343901"/>
      <w:bookmarkStart w:id="9" w:name="_Toc232912270"/>
      <w:bookmarkStart w:id="10" w:name="_Toc24157244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bookmarkStart w:id="11" w:name="_Toc232909661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Законодательное регулирование</w:t>
      </w:r>
      <w:bookmarkStart w:id="12" w:name="_Ref119427085"/>
      <w:bookmarkStart w:id="13" w:name="_Ref11225299"/>
      <w:bookmarkEnd w:id="7"/>
      <w:bookmarkEnd w:id="8"/>
      <w:bookmarkEnd w:id="9"/>
      <w:bookmarkEnd w:id="10"/>
      <w:bookmarkEnd w:id="11"/>
    </w:p>
    <w:p w:rsidR="00714318" w:rsidRPr="00714318" w:rsidRDefault="00714318" w:rsidP="00714318">
      <w:pPr>
        <w:tabs>
          <w:tab w:val="left" w:pos="240"/>
        </w:tabs>
        <w:autoSpaceDE w:val="0"/>
        <w:autoSpaceDN w:val="0"/>
        <w:adjustRightInd w:val="0"/>
        <w:spacing w:after="139" w:line="240" w:lineRule="auto"/>
        <w:ind w:hanging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аукционная документация подготовлена администрацией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в соответствии с Гражданским кодексом Российской Федерации, Федеральным законом от 26 июля 2006г. № 135-ФЗ «О защите конкуренции», Федеральным законом от 21 декабря 2001 № 178-ФЗ «О приватизации государственного и муниципального имущества» (с учётом изменений и дополнений)</w:t>
      </w: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продажи государственного или муниципального имущества на аукционе, утвержденного Постановлением Правительства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12.08.2002 №585 (с изменениями и дополнениями),  П</w:t>
      </w:r>
      <w:r w:rsidRPr="00714318">
        <w:rPr>
          <w:rFonts w:ascii="Times New Roman" w:eastAsia="Times New Roman" w:hAnsi="Times New Roman" w:cs="Times New Roman"/>
          <w:lang w:eastAsia="ru-RU"/>
        </w:rPr>
        <w:t xml:space="preserve">остановлением администрации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lang w:eastAsia="ru-RU"/>
        </w:rPr>
        <w:t xml:space="preserve"> района Новосибирской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от 09.10.2018г. №</w:t>
      </w:r>
      <w:r w:rsidRPr="00714318">
        <w:rPr>
          <w:rFonts w:ascii="Times New Roman" w:eastAsia="Times New Roman" w:hAnsi="Times New Roman" w:cs="Times New Roman"/>
          <w:lang w:eastAsia="ru-RU"/>
        </w:rPr>
        <w:t>«Об организации  проведении открытого аукциона по продаже муниципального имущества»</w:t>
      </w:r>
      <w:r w:rsidRPr="0071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318" w:rsidRPr="00714318" w:rsidRDefault="00714318" w:rsidP="00714318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232909673"/>
      <w:bookmarkStart w:id="15" w:name="_Toc232912282"/>
      <w:bookmarkStart w:id="16" w:name="_Toc241572459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Содержание  аукционной документации</w:t>
      </w:r>
      <w:bookmarkEnd w:id="14"/>
      <w:bookmarkEnd w:id="15"/>
      <w:bookmarkEnd w:id="16"/>
    </w:p>
    <w:p w:rsidR="00714318" w:rsidRPr="00714318" w:rsidRDefault="00714318" w:rsidP="00714318">
      <w:pPr>
        <w:widowControl w:val="0"/>
        <w:tabs>
          <w:tab w:val="num" w:pos="1307"/>
        </w:tabs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714318">
        <w:rPr>
          <w:rFonts w:ascii="Calibri" w:eastAsia="Calibri" w:hAnsi="Calibri" w:cs="Times New Roman"/>
          <w:sz w:val="24"/>
          <w:szCs w:val="24"/>
        </w:rPr>
        <w:t>1.2.1. Аукционная документация включает перечисленные ниже основные разделы: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160"/>
        <w:gridCol w:w="7560"/>
      </w:tblGrid>
      <w:tr w:rsidR="00714318" w:rsidRPr="00714318" w:rsidTr="00714318">
        <w:tc>
          <w:tcPr>
            <w:tcW w:w="21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положения </w:t>
            </w:r>
          </w:p>
        </w:tc>
      </w:tr>
      <w:tr w:rsidR="00714318" w:rsidRPr="00714318" w:rsidTr="00714318">
        <w:tc>
          <w:tcPr>
            <w:tcW w:w="21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5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участникам аукциона</w:t>
            </w:r>
          </w:p>
        </w:tc>
      </w:tr>
      <w:tr w:rsidR="00714318" w:rsidRPr="00714318" w:rsidTr="00714318">
        <w:tc>
          <w:tcPr>
            <w:tcW w:w="21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5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карта аукциона </w:t>
            </w:r>
          </w:p>
        </w:tc>
      </w:tr>
      <w:tr w:rsidR="00714318" w:rsidRPr="00714318" w:rsidTr="00714318">
        <w:tc>
          <w:tcPr>
            <w:tcW w:w="21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5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форм и документов для заполнения участниками </w:t>
            </w:r>
          </w:p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аукциона</w:t>
            </w:r>
          </w:p>
        </w:tc>
      </w:tr>
      <w:tr w:rsidR="00714318" w:rsidRPr="00714318" w:rsidTr="00714318">
        <w:tc>
          <w:tcPr>
            <w:tcW w:w="21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7560" w:type="dxa"/>
            <w:hideMark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договора купли-продажи </w:t>
            </w:r>
          </w:p>
        </w:tc>
      </w:tr>
      <w:tr w:rsidR="00714318" w:rsidRPr="00714318" w:rsidTr="00714318">
        <w:tc>
          <w:tcPr>
            <w:tcW w:w="2160" w:type="dxa"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714318" w:rsidRPr="00714318" w:rsidRDefault="00714318" w:rsidP="00714318">
            <w:pPr>
              <w:keepNext/>
              <w:keepLines/>
              <w:widowControl w:val="0"/>
              <w:suppressLineNumbers/>
              <w:suppressAutoHyphens/>
              <w:spacing w:after="6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4318" w:rsidRPr="00714318" w:rsidRDefault="00714318" w:rsidP="00714318">
      <w:pPr>
        <w:keepNext/>
        <w:keepLines/>
        <w:widowControl w:val="0"/>
        <w:suppressLineNumbers/>
        <w:tabs>
          <w:tab w:val="num" w:pos="0"/>
          <w:tab w:val="num" w:pos="183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bookmarkStart w:id="17" w:name="_Toc119349429"/>
      <w:bookmarkStart w:id="18" w:name="_Toc232909662"/>
      <w:bookmarkStart w:id="19" w:name="_Toc232912271"/>
      <w:bookmarkStart w:id="20" w:name="_Toc241572448"/>
      <w:bookmarkEnd w:id="12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аукциона. </w:t>
      </w:r>
      <w:bookmarkEnd w:id="1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заказчике аукциона.</w:t>
      </w:r>
      <w:bookmarkEnd w:id="18"/>
      <w:bookmarkEnd w:id="19"/>
      <w:bookmarkEnd w:id="2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об организаторе аукциона.</w:t>
      </w: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1.3.1. Муниципальное образование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является  «Заказчиком» аукциона, администрация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является «Организатором» аукциона.</w:t>
      </w:r>
    </w:p>
    <w:p w:rsidR="00714318" w:rsidRPr="00714318" w:rsidRDefault="00714318" w:rsidP="00714318">
      <w:pPr>
        <w:keepNext/>
        <w:keepLines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Организатор аукциона извещением о проведении открытого 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размещенном на  сайтах в сети Интернет http://posevnaia.ru/</w:t>
      </w:r>
      <w:hyperlink w:history="1">
        <w:r w:rsidRPr="00714318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 xml:space="preserve">     /,</w:t>
        </w:r>
      </w:hyperlink>
      <w:r w:rsidRPr="00714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www.torgi.gov.ru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 юридических лиц, предпринимателей и физических лиц принять участие в данном открытом аукционе. Адрес «заказчика» (организатора) аукциона указан  в Информационной карте аукциона.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1.3.2. Настоящая аукционная документация является неотъемлемым приложением к указанному выше извещению о проведении открытого  аукциона и содержит требования к заявкам на участие в аукционе, инструкции по их подготовке; требования к участникам аукциона; сведения о сроках и месте проведения отдельных процедур аукциона; проект договора купли-продажи и порядок его заключения.</w:t>
      </w:r>
    </w:p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0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232909663"/>
      <w:bookmarkStart w:id="22" w:name="_Toc232912272"/>
      <w:bookmarkStart w:id="23" w:name="_Toc241572449"/>
      <w:bookmarkStart w:id="24" w:name="_Toc11934943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Предмет аукциона. Место, условия и сроки </w:t>
      </w:r>
      <w:bookmarkEnd w:id="21"/>
      <w:bookmarkEnd w:id="22"/>
      <w:bookmarkEnd w:id="23"/>
      <w:bookmarkEnd w:id="24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купли-продажи.</w:t>
      </w:r>
    </w:p>
    <w:p w:rsidR="00714318" w:rsidRPr="006E0143" w:rsidRDefault="00714318" w:rsidP="00714318">
      <w:pPr>
        <w:widowControl w:val="0"/>
        <w:tabs>
          <w:tab w:val="num" w:pos="0"/>
          <w:tab w:val="num" w:pos="130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          1.4.1. Заказчик или организатор  приглашают всех заинтересованных лиц подавать заявки на участие в открытом аукционе на заключение договора купли-продажи муниципального имущества, информация о котором содержится в Информационной карте аукциона, в соответствии с процедурами и условиями, приведенными в аукционной документации, в том числе в проекте договора купли-продажи.</w:t>
      </w:r>
    </w:p>
    <w:p w:rsidR="00714318" w:rsidRPr="006E0143" w:rsidRDefault="00714318" w:rsidP="00714318">
      <w:pPr>
        <w:widowControl w:val="0"/>
        <w:tabs>
          <w:tab w:val="num" w:pos="0"/>
          <w:tab w:val="num" w:pos="700"/>
          <w:tab w:val="num" w:pos="130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          1.4.2. Участник аукциона должен будет заключить договор купли-продажи муниципального имущества, являющегося предметом аукциона,  в месте, на условиях, в сроки (периоды) предусмотренные в  Информационной карте аукциона.</w:t>
      </w:r>
    </w:p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119349431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1.5. </w:t>
      </w:r>
      <w:bookmarkStart w:id="26" w:name="_Toc232909664"/>
      <w:bookmarkStart w:id="27" w:name="_Toc232912273"/>
      <w:bookmarkStart w:id="28" w:name="_Toc24157245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(минимальная) цена </w:t>
      </w:r>
      <w:bookmarkEnd w:id="25"/>
      <w:bookmarkEnd w:id="26"/>
      <w:bookmarkEnd w:id="27"/>
      <w:bookmarkEnd w:id="28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аукциона.  «Шаг» аукциона. Требование о внесении задатка.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1.5.1.Начальная (минимальная) цена аукциона определена на основании отчёта независимого оценщика и  указана в Информационной карте аукциона.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«Шаг аукциона» в денежном выражении указан в Информационной карте аукциона.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на "шаг аукциона".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1.5.2. Требование о внесении задатка, размер задатка, порядок внесения задатка, реквизиты счета для перечисления задатка   указаны в Информационной карте аукциона. При этом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заказчиком (организатором)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Информационное сообщение, опубликованное в средствах массовой информации, содержащее сведения о внесении задатка, является публичной офертой для заключения договора о задатке в соответствии со </w:t>
      </w:r>
      <w:hyperlink r:id="rId5" w:history="1">
        <w:r w:rsidRPr="0071431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статьей 437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1.6 Требования к участникам  аукциона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1.6.1. Покупателями 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14318" w:rsidRPr="00714318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29" w:name="sub_1018"/>
      <w:r w:rsidRPr="00714318">
        <w:rPr>
          <w:rFonts w:ascii="Calibri" w:eastAsia="Calibri" w:hAnsi="Calibri" w:cs="Times New Roman"/>
          <w:iCs/>
          <w:sz w:val="24"/>
          <w:szCs w:val="24"/>
        </w:rPr>
        <w:t xml:space="preserve">           1.6.2.</w:t>
      </w:r>
      <w:r w:rsidRPr="00714318">
        <w:rPr>
          <w:rFonts w:ascii="Calibri" w:eastAsia="Calibri" w:hAnsi="Calibri" w:cs="Times New Roman"/>
          <w:sz w:val="24"/>
          <w:szCs w:val="24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Toc119349434"/>
      <w:bookmarkStart w:id="31" w:name="_Toc232909667"/>
      <w:bookmarkStart w:id="32" w:name="_Toc232912276"/>
      <w:bookmarkStart w:id="33" w:name="_Toc241572453"/>
      <w:bookmarkEnd w:id="29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1.6.3. 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утвержденной  продавцом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иные документы (в соответствии с перечнем, опубликованном в информационном сообщении о проведение аукциона и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документов, приведёнными в разделе 4 настоящей аукционной документации)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. Заявка и опись представленных документов составляются в 2-х экземплярах, один из которых остается у продавца, другой - у заявителя.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 Расходы на участие в аукционе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1.7.1. Участник аукциона несет все расходы, связанные с подготовкой и подачей заявки на участие в аукционе, с участием в аукционе и заключением договора купли-продажи.</w:t>
      </w:r>
    </w:p>
    <w:p w:rsidR="00714318" w:rsidRPr="00714318" w:rsidRDefault="00714318" w:rsidP="00714318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4" w:name="_Toc119349436"/>
      <w:bookmarkStart w:id="35" w:name="_Toc232909669"/>
      <w:bookmarkStart w:id="36" w:name="_Toc232912278"/>
      <w:bookmarkStart w:id="37" w:name="_Toc241572455"/>
      <w:bookmarkEnd w:id="30"/>
      <w:bookmarkEnd w:id="31"/>
      <w:bookmarkEnd w:id="32"/>
      <w:bookmarkEnd w:id="33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1.8. Преференции</w:t>
      </w:r>
      <w:bookmarkEnd w:id="34"/>
      <w:bookmarkEnd w:id="35"/>
      <w:bookmarkEnd w:id="36"/>
      <w:bookmarkEnd w:id="37"/>
    </w:p>
    <w:bookmarkEnd w:id="13"/>
    <w:p w:rsidR="00714318" w:rsidRPr="00714318" w:rsidRDefault="00714318" w:rsidP="00714318">
      <w:pPr>
        <w:tabs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1.8.1.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устанавливать  преимущества субъектам малого и среднего предпринимательства, имеющим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 или организациям, образующим инфраструктуру поддержки субъектов малого и среднего предпринимательства, в случае проведения аукциона в отношении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предусмотренного законом.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предоставлении вышеуказанных преимуществ содержатся в Информационной карте аукциона.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38" w:name="_Toc232909670"/>
      <w:bookmarkStart w:id="39" w:name="_Toc232912279"/>
      <w:bookmarkStart w:id="40" w:name="_Toc241572456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Общий порядок проведения аукциона</w:t>
      </w:r>
      <w:bookmarkEnd w:id="38"/>
      <w:bookmarkEnd w:id="39"/>
      <w:bookmarkEnd w:id="40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1.9.1. Аукцион проводится в следующем порядке: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Информационное сообщение о проведении открытого аукциона и аукционная документация размещается на  сайтах в сети Интернет продавца http://posevnaia.ru/</w:t>
      </w:r>
      <w:hyperlink r:id="rId6" w:history="1">
        <w:r w:rsidRPr="00714318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,</w:t>
        </w:r>
      </w:hyperlink>
      <w:hyperlink r:id="rId7" w:history="1">
        <w:r w:rsidRPr="00714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(официальный сайт), в срок не менее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чем за тридцать дней до дня осуществления продажи указанного имущества.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Предоставление  аукционной документации участникам аукциона осуществляется в соответствии с условиями и в порядке, указанном в Информационной карте аукциона.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Подготовка и рассылка ответов на вопросы участников аукциона по разъяснению   аукционной документации осуществляется  в соответствии с подразделом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1.12.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Подготовка участниками аукциона  заявок на участие в аукционе осуществляется в порядке, установленном в подразделах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2.3. - 2.8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Прием заявок начинается с даты, объявленной в информационном сообщении о проведен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осуществляется в течение не менее 25 календарных дней и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заканчивается не позднее, чем за 3 рабочих дня до даты рассмотрения продавцом заявок и документов претендентов.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на участие в аукционе и их прием -  в соответствии с подразделом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2.9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Рассмотрение заявок на участие в аукционе и принятие решения о допуске участников к участию в аукционе производится в соответствии с подразделом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2.10.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Участникам, подавшим заявки на участие в аукционе  и не допущенным к участию в аукционе, направляются уведомления о принятых комиссией решениях не позднее дня, следующего за днем подписания протокола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о признании претендентов участниками аукциона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денежных средств, внесенных в качестве задатка  на участие в аукционе,  заявителям, не допущенным к участию в аукционе (в случае если в Информационной карте аукциона было установлено требование о внесении задатка на участие в аукционе) производится в соответствии с подразделом  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2.11.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Процедура проведения  аукциона и выбор победителя аукциона, проводится  в порядке указанном в подразделах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2.12. - 2.13.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Заключение договора купли-продажи производится в порядке, указанном в подразделе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2.14.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1.9.2.После определения победителя аукциона, а также на любом этапе проведения аукциона в срок, предусмотренный для заключения договора купли-продажи, заказчик вправе отказаться от заключения договора купли-продажи с победителем аукциона в случае установления факта неисполнения участником аукциона требований, предусмотренных для участников аукциона в </w:t>
      </w:r>
      <w:r w:rsidRPr="00714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разделе 1.6.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_Toc232909671"/>
      <w:bookmarkStart w:id="42" w:name="_Toc232912280"/>
      <w:bookmarkStart w:id="43" w:name="_Toc24157245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  Требования, предъявляемые к </w:t>
      </w:r>
      <w:bookmarkEnd w:id="41"/>
      <w:bookmarkEnd w:id="42"/>
      <w:bookmarkEnd w:id="43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 (организатору) аукциона</w:t>
      </w:r>
    </w:p>
    <w:p w:rsidR="00714318" w:rsidRPr="00714318" w:rsidRDefault="00714318" w:rsidP="00714318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1.10.1. В ходе аукциона ни одному из участников не будут созданы преимущественные условия участия в открытом аукционе.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1.10.2. 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Членами комиссии не могут быть физические лица, лично заинтересованные в результатах конкурсов или аукционов. </w:t>
      </w:r>
    </w:p>
    <w:p w:rsidR="00714318" w:rsidRPr="00714318" w:rsidRDefault="00714318" w:rsidP="00714318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1.10.3. В рамках проведения аукциона организатор не будет осуществлять координацию деятельности участников аукциона, в результате которой может иметь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ограничение конкуренции или ущемление законных интересов участников аукциона.</w:t>
      </w:r>
    </w:p>
    <w:p w:rsidR="00714318" w:rsidRPr="00714318" w:rsidRDefault="00714318" w:rsidP="00714318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1.10.4. Заказчик не будет предпринимать действий, необоснованно ограничивающих доступ к участию в аукционе.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_Toc232909672"/>
      <w:bookmarkStart w:id="45" w:name="_Toc232912281"/>
      <w:bookmarkStart w:id="46" w:name="_Toc241572458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  Обеспечение конфиденциальности</w:t>
      </w:r>
      <w:bookmarkEnd w:id="44"/>
      <w:bookmarkEnd w:id="45"/>
      <w:bookmarkEnd w:id="46"/>
    </w:p>
    <w:p w:rsidR="00714318" w:rsidRPr="00714318" w:rsidRDefault="00714318" w:rsidP="00714318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1.11.1.  Организатор аукциона,  единая комиссия обеспечат конфиденциальность всех полученных   от участников аукциона сведений.</w:t>
      </w:r>
    </w:p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7" w:name="_Toc119349439"/>
      <w:bookmarkStart w:id="48" w:name="_Toc232909674"/>
      <w:bookmarkStart w:id="49" w:name="_Toc232912283"/>
      <w:bookmarkStart w:id="50" w:name="_Toc24157246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1.12   Разъяснение положений</w:t>
      </w:r>
      <w:bookmarkEnd w:id="4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аукционной документации</w:t>
      </w:r>
      <w:bookmarkEnd w:id="48"/>
      <w:bookmarkEnd w:id="49"/>
      <w:bookmarkEnd w:id="50"/>
    </w:p>
    <w:p w:rsidR="00714318" w:rsidRPr="00714318" w:rsidRDefault="00714318" w:rsidP="00714318">
      <w:pPr>
        <w:tabs>
          <w:tab w:val="num" w:pos="1080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1.12.1. В ходе аукциона какие-либо переговоры заказчика или единой комиссии с участником аукциона не допускаются. В случае нарушения указанного положения, аукцион может быть признан недействительным в порядке, предусмотренном законодательством Российской Федерации. 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1.12.2. Заказчик может давать разъяснения положений аукционной документации. Любой участник аукциона вправе направить в письменной форме заказчику  запрос о разъяснении положений аукционной документации.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</w:p>
    <w:p w:rsidR="00714318" w:rsidRPr="00714318" w:rsidRDefault="00714318" w:rsidP="00714318">
      <w:pPr>
        <w:widowControl w:val="0"/>
        <w:tabs>
          <w:tab w:val="num" w:pos="1307"/>
        </w:tabs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714318">
        <w:rPr>
          <w:rFonts w:ascii="Calibri" w:eastAsia="Calibri" w:hAnsi="Calibri" w:cs="Times New Roman"/>
          <w:sz w:val="24"/>
          <w:szCs w:val="24"/>
        </w:rPr>
        <w:t>1.12.3. В течение одного дня со дня направления разъяснения положений аукционной документации по запросу участника аукциона такое разъяснение должно быть размещено заказчиком на сайте с указанием предмета запроса и его разъяснения, при этом участник аукциона, направивший запрос, не указывается. Разъяснение положений аукционной документации не должно изменять ее суть.</w:t>
      </w:r>
    </w:p>
    <w:p w:rsidR="00714318" w:rsidRPr="00714318" w:rsidRDefault="00714318" w:rsidP="00714318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ind w:left="1836" w:hanging="57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1" w:name="_Ref119429410"/>
      <w:bookmarkStart w:id="52" w:name="_Toc119349440"/>
      <w:bookmarkStart w:id="53" w:name="_Toc232909675"/>
      <w:bookmarkStart w:id="54" w:name="_Toc232912284"/>
      <w:bookmarkStart w:id="55" w:name="_Toc241572461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1.13.Внесение изменений и дополнений в </w:t>
      </w:r>
      <w:bookmarkEnd w:id="51"/>
      <w:bookmarkEnd w:id="52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аукционную документацию</w:t>
      </w:r>
      <w:bookmarkEnd w:id="53"/>
      <w:bookmarkEnd w:id="54"/>
      <w:bookmarkEnd w:id="55"/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Toc119349441"/>
      <w:r w:rsidRPr="00714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1.13</w:t>
      </w:r>
      <w:bookmarkStart w:id="57" w:name="_Toc232909676"/>
      <w:bookmarkStart w:id="58" w:name="_Toc232912285"/>
      <w:bookmarkStart w:id="59" w:name="_Toc241572462"/>
      <w:r w:rsidRPr="00714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решения, такие изменения размещаются организатором аукциона на официальном сайте торгов. В течение двух рабочих дней,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решения,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14318" w:rsidRPr="00714318" w:rsidRDefault="00714318" w:rsidP="0071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318">
        <w:rPr>
          <w:rFonts w:ascii="Times New Roman" w:eastAsia="Calibri" w:hAnsi="Times New Roman" w:cs="Times New Roman"/>
          <w:b/>
          <w:sz w:val="24"/>
          <w:szCs w:val="24"/>
        </w:rPr>
        <w:t>1.14.Отказ от проведения аукциона</w:t>
      </w:r>
      <w:bookmarkEnd w:id="56"/>
      <w:bookmarkEnd w:id="57"/>
      <w:bookmarkEnd w:id="58"/>
      <w:bookmarkEnd w:id="59"/>
    </w:p>
    <w:p w:rsidR="00714318" w:rsidRPr="00714318" w:rsidRDefault="00714318" w:rsidP="00714318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1.14.1.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аукциона. В течение двух рабочих дней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решения об отказе от проведения аукциона.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0" w:name="_Toc232909677"/>
      <w:bookmarkStart w:id="61" w:name="_Toc232912286"/>
      <w:bookmarkStart w:id="62" w:name="_Toc241572463"/>
      <w:bookmarkStart w:id="63" w:name="_Toc15890879"/>
      <w:bookmarkStart w:id="64" w:name="_Toc1303584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1.15. Порядок получения аукционной документации</w:t>
      </w:r>
      <w:bookmarkEnd w:id="60"/>
      <w:bookmarkEnd w:id="61"/>
      <w:bookmarkEnd w:id="62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1.15.1. Аукционная документация может быть получена участником аукциона: 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 виде (на представленный носитель), по адресу: НСО,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Островского, 58;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самостоятельно на сайтах в сети Интернет: http://posevnaia.ru/ (раздел торги),</w:t>
      </w:r>
      <w:hyperlink r:id="rId8" w:history="1">
        <w:r w:rsidRPr="00714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сайт).</w:t>
      </w:r>
    </w:p>
    <w:p w:rsidR="00714318" w:rsidRPr="00714318" w:rsidRDefault="00714318" w:rsidP="00714318">
      <w:pPr>
        <w:tabs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 содержание аукционной документации,  полученной участником аукциона другим  способом, организатор торгов ответственности не несёт.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1045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аукционной документации претендентам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период  до размещения на официальном сайте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информации о проведении аукциона не допускается.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1.15.2. Участник аукциона должен изучить аукционную документацию, включая все инструкции и формы. Не представление полной информации, требуемой аукционной документацией, представление неверных сведений или подача заявки, не отвечающей требованиям, содержащимся в аукционной документации, являются риском заявителя, подавшего такую заявку, и может привести к отклонению его заявки.</w:t>
      </w:r>
      <w:bookmarkStart w:id="66" w:name="_Toc221338496"/>
      <w:bookmarkStart w:id="67" w:name="_Toc221338915"/>
      <w:bookmarkStart w:id="68" w:name="_Toc232909678"/>
      <w:bookmarkStart w:id="69" w:name="_Toc232912287"/>
      <w:bookmarkStart w:id="70" w:name="_Toc241572464"/>
      <w:bookmarkEnd w:id="63"/>
      <w:bookmarkEnd w:id="64"/>
      <w:bookmarkEnd w:id="65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2</w:t>
      </w:r>
      <w:bookmarkEnd w:id="66"/>
      <w:r w:rsidRPr="0071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71" w:name="_Toc221338497"/>
      <w:r w:rsidRPr="0071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 УЧАСТНИКАМ </w:t>
      </w:r>
      <w:bookmarkEnd w:id="67"/>
      <w:bookmarkEnd w:id="68"/>
      <w:bookmarkEnd w:id="69"/>
      <w:bookmarkEnd w:id="70"/>
      <w:bookmarkEnd w:id="71"/>
      <w:r w:rsidRPr="0071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2" w:name="_Toc232909679"/>
      <w:bookmarkStart w:id="73" w:name="_Toc232912288"/>
      <w:bookmarkStart w:id="74" w:name="_Toc241572465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Общие требования к участникам </w:t>
      </w:r>
      <w:bookmarkEnd w:id="72"/>
      <w:bookmarkEnd w:id="73"/>
      <w:bookmarkEnd w:id="74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Участник аукциона должен соответствовать обязательным требованиям, указанным в п.1.6 аукционной документации.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5" w:name="_Toc232909680"/>
      <w:bookmarkStart w:id="76" w:name="_Toc232912289"/>
      <w:bookmarkStart w:id="77" w:name="_Toc241572466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Представление документов, подтверждающих соответствие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частника аукциона установленным требованиям</w:t>
      </w:r>
      <w:bookmarkEnd w:id="75"/>
      <w:bookmarkEnd w:id="76"/>
      <w:bookmarkEnd w:id="77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2.2.1.Лицом, желающим принять участие в аукционе  в срок, указанный в извещении и Информационной карте аукциона подается  заявка на участие в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sub_10121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Заявка на участие в аукционе должна содержать: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_1012111"/>
      <w:bookmarkEnd w:id="78"/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sub_1012112"/>
      <w:bookmarkEnd w:id="79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bookmarkStart w:id="81" w:name="sub_10124"/>
      <w:bookmarkEnd w:id="80"/>
      <w:r w:rsidRPr="00714318">
        <w:rPr>
          <w:rFonts w:ascii="Times New Roman" w:eastAsia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2" w:name="sub_161002"/>
      <w:r w:rsidRPr="00714318">
        <w:rPr>
          <w:rFonts w:ascii="Times New Roman" w:eastAsia="Times New Roman" w:hAnsi="Times New Roman" w:cs="Times New Roman"/>
          <w:b/>
          <w:sz w:val="24"/>
          <w:szCs w:val="24"/>
        </w:rPr>
        <w:t>юридические лица: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sub_161003"/>
      <w:bookmarkEnd w:id="82"/>
      <w:r w:rsidRPr="00714318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sub_161004"/>
      <w:bookmarkEnd w:id="83"/>
      <w:r w:rsidRPr="00714318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sub_161005"/>
      <w:bookmarkEnd w:id="84"/>
      <w:r w:rsidRPr="00714318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sub_161006"/>
      <w:bookmarkEnd w:id="85"/>
      <w:r w:rsidRPr="00714318">
        <w:rPr>
          <w:rFonts w:ascii="Times New Roman" w:eastAsia="Times New Roman" w:hAnsi="Times New Roman" w:cs="Times New Roman"/>
          <w:b/>
          <w:sz w:val="24"/>
          <w:szCs w:val="24"/>
        </w:rPr>
        <w:t>физические лица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sub_16102"/>
      <w:bookmarkEnd w:id="86"/>
      <w:r w:rsidRPr="0071431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87"/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sub_1621"/>
      <w:r w:rsidRPr="00714318">
        <w:rPr>
          <w:rFonts w:ascii="Times New Roman" w:eastAsia="Times New Roman" w:hAnsi="Times New Roman" w:cs="Times New Roman"/>
          <w:sz w:val="24"/>
          <w:szCs w:val="24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sub_1622"/>
      <w:bookmarkEnd w:id="88"/>
      <w:r w:rsidRPr="00714318">
        <w:rPr>
          <w:rFonts w:ascii="Times New Roman" w:eastAsia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sub_1623"/>
      <w:bookmarkEnd w:id="89"/>
      <w:r w:rsidRPr="00714318">
        <w:rPr>
          <w:rFonts w:ascii="Times New Roman" w:eastAsia="Times New Roman" w:hAnsi="Times New Roman" w:cs="Times New Roman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bookmarkEnd w:id="90"/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Заявитель вправе подать только одну заявку в отношении каждого предмета аукциона (лота). </w:t>
      </w:r>
    </w:p>
    <w:p w:rsidR="00714318" w:rsidRPr="00714318" w:rsidRDefault="00484781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bookmarkStart w:id="91" w:name="sub_10127"/>
      <w:bookmarkEnd w:id="81"/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Задаток указанным заявителям возвращается на расчётный счёт в течение пяти календарных дней </w:t>
      </w:r>
      <w:proofErr w:type="gramStart"/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подписания</w:t>
      </w:r>
      <w:proofErr w:type="gramEnd"/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318" w:rsidRPr="00714318">
        <w:rPr>
          <w:rFonts w:ascii="Times New Roman" w:eastAsia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714318" w:rsidRPr="00714318" w:rsidRDefault="00484781" w:rsidP="00714318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2" w:name="sub_10128"/>
      <w:bookmarkEnd w:id="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14318"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Заявитель вправе отозвать заявку в любое время до установленных даты и времени начала рассмотрения заявок на участие в аукционе. </w:t>
      </w:r>
      <w:r w:rsidR="00714318" w:rsidRPr="00714318">
        <w:rPr>
          <w:rFonts w:ascii="Times New Roman" w:eastAsia="Times New Roman" w:hAnsi="Times New Roman" w:cs="Times New Roman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3" w:name="_Toc232909681"/>
      <w:bookmarkStart w:id="94" w:name="_Toc232912290"/>
      <w:bookmarkStart w:id="95" w:name="_Toc241572467"/>
      <w:bookmarkEnd w:id="92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Требования к оформлению заявки на участие в аукционе</w:t>
      </w:r>
      <w:bookmarkEnd w:id="93"/>
      <w:bookmarkEnd w:id="94"/>
      <w:bookmarkEnd w:id="95"/>
    </w:p>
    <w:p w:rsidR="00714318" w:rsidRPr="00714318" w:rsidRDefault="00714318" w:rsidP="00714318">
      <w:pPr>
        <w:widowControl w:val="0"/>
        <w:tabs>
          <w:tab w:val="left" w:pos="720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714318">
        <w:rPr>
          <w:rFonts w:ascii="Times New Roman" w:eastAsia="Calibri" w:hAnsi="Times New Roman" w:cs="Times New Roman"/>
          <w:sz w:val="24"/>
          <w:szCs w:val="24"/>
        </w:rPr>
        <w:t xml:space="preserve">     2.3.1.  Для оформления заявки на участие в аукционе и документов к ней 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2.3.2. Сведения, которые содержатся в заявках участников аукциона, не должны допускать двусмысленных толкований.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2.3.3. Все листы и документы, представленные участниками аукциона, должны быть прошиты и пронумерованы, подписаны уполномоченным лицом.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2.3.4. Документы на участие в аукционе должны содержать опись входящих в ее состав заявки документов, быть скреплены печатью участника аукциона и подписаны участником аукциона или  уполномоченным им лицом.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2.3.5.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 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2.3.6. Все документы, представляемые участниками аукциона  в составе заявки на участие в аукционе, должны быть заполнены по всем пунктам.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2.3.7. Представленные в составе заявки на участие в аукционе документы не возвращаются участнику аукциона.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2.3.8.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языке, должна сопровождаться предоставлением, надлежащим образом заверенного перевода соответствующих документов на русский язык. </w:t>
      </w:r>
    </w:p>
    <w:p w:rsidR="00714318" w:rsidRPr="00714318" w:rsidRDefault="00714318" w:rsidP="00714318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2.3.9. Все суммы денежных средств, указанные в документах, входящих в заявку на участие в аукционе, должны быть выражены в валюте Российской Федерации (российский рубль). 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6" w:name="_Toc232909682"/>
      <w:bookmarkStart w:id="97" w:name="_Toc232912291"/>
      <w:bookmarkStart w:id="98" w:name="_Toc241572468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Требования к сроку действия заявки на участие в аукционе</w:t>
      </w:r>
      <w:bookmarkEnd w:id="96"/>
      <w:bookmarkEnd w:id="97"/>
      <w:bookmarkEnd w:id="98"/>
    </w:p>
    <w:p w:rsidR="00714318" w:rsidRPr="00714318" w:rsidRDefault="00714318" w:rsidP="0071431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должна быть действительна в течение срока, указанного в  Информационной карте аукциона.</w:t>
      </w:r>
    </w:p>
    <w:p w:rsidR="00714318" w:rsidRPr="00714318" w:rsidRDefault="00714318" w:rsidP="00714318">
      <w:pPr>
        <w:keepNext/>
        <w:spacing w:after="6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9" w:name="_Toc232909685"/>
      <w:bookmarkStart w:id="100" w:name="_Toc232912294"/>
      <w:bookmarkStart w:id="101" w:name="_Toc241572471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Требования к обеспечению заявки на участие в аукционе</w:t>
      </w:r>
      <w:bookmarkEnd w:id="99"/>
      <w:bookmarkEnd w:id="100"/>
      <w:bookmarkEnd w:id="101"/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2.5.1. </w:t>
      </w:r>
      <w:proofErr w:type="gramStart"/>
      <w:r w:rsidRPr="006E0143">
        <w:rPr>
          <w:rFonts w:ascii="Times New Roman" w:eastAsia="Calibri" w:hAnsi="Times New Roman" w:cs="Times New Roman"/>
          <w:sz w:val="24"/>
          <w:szCs w:val="24"/>
        </w:rPr>
        <w:t>Если в извещении о проведении аукциона (с учетом всех изменений извещения о проведении аукциона, являющихся неотъемлемой частью извещения о проведении аукциона)   и в Информационной карте аукциона, установлено требование внесении задатка для участия в аукционе, то  участники аукциона, подающие заявки, вносят денежные средства в качестве задатка в сумме и на банковский счет,   указанный в информационном сообщении о проведении  аукциона и в</w:t>
      </w:r>
      <w:proofErr w:type="gramEnd"/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Информационной карте аукциона.</w:t>
      </w:r>
    </w:p>
    <w:p w:rsidR="00714318" w:rsidRPr="006E0143" w:rsidRDefault="00714318" w:rsidP="00714318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В случае</w:t>
      </w:r>
      <w:proofErr w:type="gramStart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информационным сообщением о проведении аукциона установлено требование о внесении задатка на участие в аукционе, </w:t>
      </w:r>
      <w:bookmarkStart w:id="102" w:name="_Toc119343902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E0143">
        <w:rPr>
          <w:rFonts w:ascii="Times New Roman" w:eastAsia="Times New Roman" w:hAnsi="Times New Roman" w:cs="Times New Roman"/>
          <w:sz w:val="24"/>
          <w:szCs w:val="24"/>
        </w:rPr>
        <w:t>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14318" w:rsidRPr="006E0143" w:rsidRDefault="00714318" w:rsidP="00714318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2.5.3. </w:t>
      </w:r>
      <w:bookmarkEnd w:id="102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было установлено требование о внесении задатка для  участия в аукционе,  организатор аукциона возвращает участникам  аукциона денежные средства, внесенные в качестве задатка  на участие в аукционе путем перечисления денежных средств на банковский счет, указанный в заявке, поданной соответствующим участником аукциона в следующих случаях и в следующие сроки: </w:t>
      </w:r>
    </w:p>
    <w:p w:rsidR="00714318" w:rsidRPr="006E0143" w:rsidRDefault="00714318" w:rsidP="00714318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пяти дней, со дня поступления организатору аукциона уведомления об отзыве участником  аукциона заявки на участие в аукционе;</w:t>
      </w:r>
    </w:p>
    <w:p w:rsidR="00714318" w:rsidRPr="006E0143" w:rsidRDefault="00714318" w:rsidP="007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sub_11611"/>
      <w:r w:rsidRPr="006E0143">
        <w:rPr>
          <w:rFonts w:ascii="Times New Roman" w:eastAsia="Times New Roman" w:hAnsi="Times New Roman" w:cs="Times New Roman"/>
          <w:sz w:val="24"/>
          <w:szCs w:val="24"/>
        </w:rPr>
        <w:t xml:space="preserve">         -  участникам аукциона, за исключением его победителя, - в течение 5 дней со дня подведения итогов аукциона;</w:t>
      </w:r>
    </w:p>
    <w:bookmarkEnd w:id="103"/>
    <w:p w:rsidR="00714318" w:rsidRPr="006E0143" w:rsidRDefault="00714318" w:rsidP="007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43">
        <w:rPr>
          <w:rFonts w:ascii="Times New Roman" w:eastAsia="Times New Roman" w:hAnsi="Times New Roman" w:cs="Times New Roman"/>
          <w:sz w:val="24"/>
          <w:szCs w:val="24"/>
        </w:rPr>
        <w:t xml:space="preserve">         - претендентам, не допущенным к участию в аукционе, - в течение 5 дней со дня подписания протокола о признании претендентов участниками аукциона;</w:t>
      </w:r>
    </w:p>
    <w:p w:rsidR="00714318" w:rsidRPr="006E0143" w:rsidRDefault="00714318" w:rsidP="00714318">
      <w:pPr>
        <w:widowControl w:val="0"/>
        <w:tabs>
          <w:tab w:val="left" w:pos="0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     - задаток победителя аукциона по продаже федерального имущества подлежит перечислению в установленном порядке в федеральный бюджет в течение 5 дней со дня, установленного для заключения договора купли-продажи имущества.</w:t>
      </w:r>
    </w:p>
    <w:p w:rsidR="00714318" w:rsidRPr="006E0143" w:rsidRDefault="00714318" w:rsidP="00714318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>2.5.4. Денежные средства, внесенные в качестве задатка на участие в аукционе, не возвращаются в случае уклонения победителя аукциона от заключения договора купли-продажи</w:t>
      </w:r>
      <w:r w:rsidRPr="006E014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14318" w:rsidRPr="006E0143" w:rsidRDefault="00714318" w:rsidP="00714318">
      <w:pPr>
        <w:keepNext/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4" w:name="_Toc232909686"/>
      <w:bookmarkStart w:id="105" w:name="_Toc232912295"/>
      <w:bookmarkStart w:id="106" w:name="_Toc241572472"/>
      <w:r w:rsidRPr="006E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Документы, составляющие заявку на участие в аукционе</w:t>
      </w:r>
      <w:bookmarkEnd w:id="104"/>
      <w:bookmarkEnd w:id="105"/>
      <w:bookmarkEnd w:id="106"/>
    </w:p>
    <w:p w:rsidR="00714318" w:rsidRPr="006E0143" w:rsidRDefault="00714318" w:rsidP="0071431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 2.6.1. Заявка на участие в аукционе должна содержать документы, указанные в пункте 2.2.1. аукционной документации.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7" w:name="_Toc232909688"/>
      <w:bookmarkStart w:id="108" w:name="_Toc232912297"/>
      <w:bookmarkStart w:id="109" w:name="_Toc241572474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Требования к предложениям о цене </w:t>
      </w:r>
      <w:bookmarkEnd w:id="107"/>
      <w:bookmarkEnd w:id="108"/>
      <w:bookmarkEnd w:id="109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договора, предлагаемая участником аукциона, не может быть  ниже начальной (минимальной) цены договора, указанной в Информационной карте аукциона. 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0" w:name="_Toc232909689"/>
      <w:bookmarkStart w:id="111" w:name="_Toc232912298"/>
      <w:bookmarkStart w:id="112" w:name="_Toc241572475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Место, дата начала и окончания срока подачи заявок на участие в аукционе</w:t>
      </w:r>
      <w:bookmarkEnd w:id="110"/>
      <w:bookmarkEnd w:id="111"/>
      <w:bookmarkEnd w:id="112"/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8">
        <w:rPr>
          <w:rFonts w:ascii="Times New Roman" w:eastAsia="Calibri" w:hAnsi="Times New Roman" w:cs="Times New Roman"/>
          <w:sz w:val="24"/>
          <w:szCs w:val="24"/>
        </w:rPr>
        <w:t xml:space="preserve">  2.8.1. Заявки на участие в аукционе принимаются по адресу, указанному в информационном сообщении о проведение аукциона и в Информационной карте аукциона.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2.8.2. Заявки на участие в аукционе принимаются с даты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, объявленной в информационном сообщении о проведение аукциона.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2.8.3. Прием заявок на участие в аукционе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осуществляется в течение не менее 25 календарных дней и заканчивается не позднее, чем за 3 рабочих дня до даты рассмотрения продавцом заявок и документов претендентов.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2.8.4.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Заявки, поступившие по истечении срока их приема, указанного в информационном сообщении о проведение аукциона, вместе с описью, на которой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lastRenderedPageBreak/>
        <w:t>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714318" w:rsidRPr="00714318" w:rsidRDefault="00714318" w:rsidP="00714318">
      <w:pPr>
        <w:widowControl w:val="0"/>
        <w:tabs>
          <w:tab w:val="left" w:pos="700"/>
          <w:tab w:val="num" w:pos="1080"/>
          <w:tab w:val="num" w:pos="1307"/>
        </w:tabs>
        <w:adjustRightInd w:val="0"/>
        <w:spacing w:after="0" w:line="240" w:lineRule="auto"/>
        <w:ind w:firstLine="540"/>
        <w:jc w:val="center"/>
        <w:outlineLvl w:val="1"/>
        <w:rPr>
          <w:rFonts w:ascii="Calibri" w:eastAsia="Calibri" w:hAnsi="Calibri" w:cs="Times New Roman"/>
          <w:b/>
          <w:sz w:val="24"/>
          <w:szCs w:val="24"/>
          <w:lang w:eastAsia="ru-RU"/>
        </w:rPr>
      </w:pPr>
      <w:bookmarkStart w:id="113" w:name="_Toc232909690"/>
      <w:bookmarkStart w:id="114" w:name="_Toc232912299"/>
      <w:bookmarkStart w:id="115" w:name="_Toc241572476"/>
      <w:r w:rsidRPr="00714318">
        <w:rPr>
          <w:rFonts w:ascii="Calibri" w:eastAsia="Calibri" w:hAnsi="Calibri" w:cs="Times New Roman"/>
          <w:b/>
          <w:sz w:val="24"/>
          <w:szCs w:val="24"/>
        </w:rPr>
        <w:t>2.9. Представление заявки на участие в аукционе</w:t>
      </w:r>
      <w:bookmarkEnd w:id="113"/>
      <w:bookmarkEnd w:id="114"/>
      <w:bookmarkEnd w:id="115"/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2.9.1.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опубликованным в информационном сообщении о проведение аукциона. Заявка и опись представленных документов составляются в 2-х экземплярах, один из которых остается у продавца, другой - у заявителя.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2.9.2. Заявитель на участие в аукционе  вправе подать только одну заявку в отношении каждого предмета аукциона (лота). В случае установления факта подачи одним заявителем двух и более заявок  в отношении одного и того же лота,  при условии, что поданные ранее заявки таким заявителем не отозваны, 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714318" w:rsidRPr="006E0143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2.9.3.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</w:t>
      </w:r>
      <w:r w:rsidRPr="006E0143">
        <w:rPr>
          <w:rFonts w:ascii="Times New Roman" w:eastAsia="Times New Roman" w:hAnsi="Times New Roman" w:cs="Times New Roman"/>
          <w:sz w:val="24"/>
          <w:szCs w:val="24"/>
        </w:rPr>
        <w:t>принятии заявки с указанием ее номера, даты и времени принятия продавцом.</w:t>
      </w:r>
    </w:p>
    <w:p w:rsidR="00714318" w:rsidRPr="00714318" w:rsidRDefault="00714318" w:rsidP="00714318">
      <w:pPr>
        <w:widowControl w:val="0"/>
        <w:tabs>
          <w:tab w:val="num" w:pos="1080"/>
          <w:tab w:val="num" w:pos="1307"/>
        </w:tabs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  2.9.4. По требованию лица, подавшего заявку на участие в аукционе, организатор аукциона выдаёт  расписку в получении такой заявки с указанием даты и времени ее получения</w:t>
      </w:r>
      <w:r w:rsidRPr="00714318">
        <w:rPr>
          <w:rFonts w:ascii="Calibri" w:eastAsia="Calibri" w:hAnsi="Calibri" w:cs="Times New Roman"/>
          <w:sz w:val="24"/>
          <w:szCs w:val="24"/>
        </w:rPr>
        <w:t>.</w:t>
      </w:r>
    </w:p>
    <w:p w:rsidR="00714318" w:rsidRPr="00714318" w:rsidRDefault="00714318" w:rsidP="00714318">
      <w:pPr>
        <w:tabs>
          <w:tab w:val="left" w:pos="700"/>
        </w:tabs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2.9.5.Лицо, подавшее заявку на участие в аукционе, вправе отозвать такую заявку в любое время до дня и времени начала рассмотрения заявок на участие в аукционе. 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6" w:name="_Toc232909691"/>
      <w:bookmarkStart w:id="117" w:name="_Toc232912300"/>
      <w:bookmarkStart w:id="118" w:name="_Toc24157247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Порядок рассмотрения заявок на участие в аукционе</w:t>
      </w:r>
      <w:bookmarkEnd w:id="116"/>
      <w:bookmarkEnd w:id="117"/>
      <w:bookmarkEnd w:id="118"/>
    </w:p>
    <w:p w:rsidR="00714318" w:rsidRPr="00714318" w:rsidRDefault="00714318" w:rsidP="00714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2.10.1. Место, день и время начала рассмотрения единой комиссией поступивших заявок на участие в аукционе указаны в информационном сообщении о проведение аукциона и в Информационной карте аукциона.</w:t>
      </w:r>
    </w:p>
    <w:p w:rsidR="00714318" w:rsidRPr="00714318" w:rsidRDefault="00714318" w:rsidP="00714318">
      <w:pPr>
        <w:tabs>
          <w:tab w:val="num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2.10.2. Единая комиссия рассматривает заявки на участие в аукционе на соответствие требованиям, установленным в подразделе 2.3., и соответствие участников аукциона  требованиям, установленным в подразделах 2.1.; 2.2. настоящего раздела.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2.10.3. Рассмотрение заявок на предмет их соответствия требованиям, установленным в подразделах 2.3. настоящего раздела, и лиц, заявивших о своём желании принять участие в аукционе на предмет их соответствия требованиям, установленным в подразделах 2.1.; 2.2. настоящего раздела, осуществляется по принципу «соответствует требованиям» или «не соответствует требованиям».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2.10.4.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Срок рассмотрения заявок на участие в аукционе осуществляется в течение пяти рабочих дней со дня  окончания срока подачи заявок.</w:t>
      </w:r>
    </w:p>
    <w:p w:rsidR="00714318" w:rsidRPr="00714318" w:rsidRDefault="00714318" w:rsidP="00714318">
      <w:pPr>
        <w:tabs>
          <w:tab w:val="left" w:pos="7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2.10.5.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соответствия участников аукциона требованиям, установленным в подразделах 2.1.; 2.2., Организатор аукциона  вправе запросить у соответствующих органов и организаций сведения о проведении ликвидации лица, заявившего о желании принять участие в аукционе,  о  проведении в отношении  юридического лица, индивидуального предпринимателя заявивших своём  о желании принять участие в аукционе, процедуры банкротства, о приостановлении деятельности указанных лиц в порядке, предусмотренном Кодексом Российской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правонарушениях, о наличии задолженностей такого у указанных лиц по начисленным налогам, сборам и иным обязательным платежам в бюджеты любого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 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2.10.6.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 недостоверности сведений,  содержащихся в документах предусмотренных подразделами 2.1., 2.2.,    либо  установления факта проведения ликвидации лица,  заявившего о желании принять участие в аукционе  или о факте  проведения в отношении  указанного лица процедуры банкротства,  либо факта приостановления его деятельности в порядке, предусмотренном Кодексом Российской Федерации об административных правонарушениях, единая комиссия отстраняет такого участника от участия в аукционе на любом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проведения.</w:t>
      </w:r>
    </w:p>
    <w:p w:rsidR="00714318" w:rsidRPr="00714318" w:rsidRDefault="00714318" w:rsidP="00714318">
      <w:pPr>
        <w:tabs>
          <w:tab w:val="num" w:pos="1080"/>
        </w:tabs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2.10.7. </w:t>
      </w:r>
      <w:bookmarkStart w:id="119" w:name="_Ref11238121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Заявкой, отвечающей требованиям документации об аукционе, признается та, которая соответствует всем  положениям и условиям документации об аукционе. </w:t>
      </w:r>
      <w:bookmarkEnd w:id="119"/>
    </w:p>
    <w:p w:rsidR="00714318" w:rsidRPr="00714318" w:rsidRDefault="00714318" w:rsidP="00714318">
      <w:pPr>
        <w:keepNext/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0" w:name="_Toc232909692"/>
      <w:bookmarkStart w:id="121" w:name="_Toc232912301"/>
      <w:bookmarkStart w:id="122" w:name="_Toc241572478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Допуск к участию в аукционе</w:t>
      </w:r>
      <w:bookmarkEnd w:id="120"/>
      <w:bookmarkEnd w:id="121"/>
      <w:bookmarkEnd w:id="122"/>
    </w:p>
    <w:p w:rsidR="00714318" w:rsidRPr="00714318" w:rsidRDefault="00714318" w:rsidP="00714318">
      <w:pPr>
        <w:tabs>
          <w:tab w:val="left" w:pos="70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2.11.1. На основании результатов рассмотрения заявок на участие в аукционе единой комиссией принимается решение:</w:t>
      </w:r>
    </w:p>
    <w:p w:rsidR="00714318" w:rsidRPr="006E0143" w:rsidRDefault="00714318" w:rsidP="00714318">
      <w:pPr>
        <w:widowControl w:val="0"/>
        <w:tabs>
          <w:tab w:val="num" w:pos="1080"/>
        </w:tabs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123" w:name="_GoBack"/>
      <w:r w:rsidRPr="006E0143">
        <w:rPr>
          <w:rFonts w:ascii="Times New Roman" w:eastAsia="Calibri" w:hAnsi="Times New Roman" w:cs="Times New Roman"/>
          <w:sz w:val="24"/>
          <w:szCs w:val="24"/>
        </w:rPr>
        <w:t xml:space="preserve">а) о признании участником аукциона лица, подавшего заявку на участие в аукционе. </w:t>
      </w:r>
    </w:p>
    <w:p w:rsidR="00714318" w:rsidRPr="006E0143" w:rsidRDefault="00714318" w:rsidP="00714318">
      <w:pPr>
        <w:widowControl w:val="0"/>
        <w:tabs>
          <w:tab w:val="num" w:pos="1080"/>
        </w:tabs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0143">
        <w:rPr>
          <w:rFonts w:ascii="Times New Roman" w:eastAsia="Calibri" w:hAnsi="Times New Roman" w:cs="Times New Roman"/>
          <w:sz w:val="24"/>
          <w:szCs w:val="24"/>
        </w:rPr>
        <w:t>б) об отказе в признании участником аукциона  лица,  подавшего заявку на участие в аукционе,  и отказе в  его допуске к участию в аукционе, с указанием причин отказа.</w:t>
      </w:r>
    </w:p>
    <w:p w:rsidR="00714318" w:rsidRPr="006E0143" w:rsidRDefault="00714318" w:rsidP="00714318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2.11.2. Лицо, подавшее заявку на участие в аукционе,  не допускается единой комиссией к участию в аукционе в случае:</w:t>
      </w:r>
    </w:p>
    <w:bookmarkEnd w:id="123"/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подтверждено поступление в установленный срок задатка на счета, указанные в информационном сообщении.</w:t>
      </w:r>
    </w:p>
    <w:p w:rsidR="00714318" w:rsidRPr="00714318" w:rsidRDefault="00714318" w:rsidP="00714318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заявка представлена позже срока, предусмотренного для подачи заявок.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отказа претенденту в участии в аукционе является исчерпывающим.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оформления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отказе в допуске к участию в аукционе размещается на </w:t>
      </w:r>
      <w:hyperlink r:id="rId9" w:history="1">
        <w:r w:rsidRPr="0071431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официальном сайте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продавца в сети Интернет в срок не позднее рабочего дня, следующего за днем принятия указанного решения.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2.11.3.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Решения продавца о признании претендентов участниками аукциона оформляется протоколом.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Претендент приобретает статус участника аукциона с момента подписания комиссией протокола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о признании претендентов участниками аукциона.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 П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ретендентам, не допущенным к участию в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>еречислившим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задаток для участия в аукционе, </w:t>
      </w: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обязан вернуть задаток в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течение 5 календарных дней со дня подписания протокола о признании претендентов участниками аукциона.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2.11.5. Лицам, подавшим заявки на участие в аукционе и не признанным участниками аукциона, 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 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4" w:name="_Toc232909693"/>
      <w:bookmarkStart w:id="125" w:name="_Toc232912302"/>
      <w:bookmarkStart w:id="126" w:name="_Toc241572479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 Порядок проведения аукциона</w:t>
      </w:r>
      <w:bookmarkEnd w:id="124"/>
      <w:bookmarkEnd w:id="125"/>
      <w:bookmarkEnd w:id="126"/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Аукцион проводится не позднее третьего рабочего дня со дня со дня признания претендентов участниками аукциона (составления протокола рассмотрения заявок на участие в аукционе).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Аукцион ведет аукциони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исутствии единой комиссии, участников аукциона, их полномочных представителей.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Участникам аукциона выдаются пронумерованные карточки участника аукциона (далее именуются - карточки) и аукцион объявляется открытым, оглашаются наименование имущества, основные его характеристики, начальная цена продажи и "шаг аукциона".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2.12.4. После оглашения аукционистом начальной цены продажи участникам аукциона предлагается заявить эту цену путем поднятия карточек. Каждая последующая цена, превышающая предыдущую цену на "шаг аукциона",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после объявления цены аукционистом.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2.12.6. По завершени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аукционист объявляет о продаже имущества, называет его продажную цену и номер карточки победителя аукциона. 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714318" w:rsidRPr="00714318" w:rsidRDefault="00714318" w:rsidP="00714318">
      <w:pPr>
        <w:keepNext/>
        <w:tabs>
          <w:tab w:val="left" w:pos="700"/>
        </w:tabs>
        <w:spacing w:after="6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_Toc221338498"/>
      <w:bookmarkStart w:id="128" w:name="_Toc221338916"/>
      <w:bookmarkStart w:id="129" w:name="_Toc232909694"/>
      <w:bookmarkStart w:id="130" w:name="_Toc232912303"/>
      <w:bookmarkStart w:id="131" w:name="_Toc24157248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Определение победителя аукциона</w:t>
      </w:r>
      <w:bookmarkEnd w:id="127"/>
      <w:bookmarkEnd w:id="128"/>
      <w:bookmarkEnd w:id="129"/>
      <w:bookmarkEnd w:id="130"/>
      <w:bookmarkEnd w:id="131"/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sub_10142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</w:t>
      </w:r>
      <w:bookmarkStart w:id="133" w:name="sub_10143"/>
      <w:bookmarkEnd w:id="132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завершени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2.13.2. Ц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>ена имущества, предложенная победителем аукциона, заносится в протокол об итогах аукциона, составляемый в 2 экземплярах.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714318" w:rsidRPr="00714318" w:rsidRDefault="00714318" w:rsidP="0071431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итогов аукциона.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sub_10144"/>
      <w:bookmarkEnd w:id="133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2.13.3. </w:t>
      </w:r>
      <w:bookmarkStart w:id="135" w:name="sub_10146"/>
      <w:bookmarkEnd w:id="134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об итогах аукциона размещается на </w:t>
      </w:r>
      <w:hyperlink r:id="rId10" w:history="1">
        <w:r w:rsidRPr="0071431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официальных сайтах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в соответствии с требованиями, установленными </w:t>
      </w:r>
      <w:hyperlink r:id="rId11" w:history="1">
        <w:r w:rsidRPr="0071431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Федеральным законом</w:t>
        </w:r>
      </w:hyperlink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2.13.4.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sub_10147"/>
      <w:bookmarkEnd w:id="135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2.13.5. </w:t>
      </w:r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</w:rPr>
        <w:t xml:space="preserve"> итогов аукциона. Задаток победителя аукциона по продаже муниципального имущества подлежит перечислению в установленном порядке в бюджет района в течение 5 календарных дней со дня, установленного для заключения договора купли-продажи имущества.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sub_10149"/>
      <w:bookmarkEnd w:id="136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2.13.6.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714318" w:rsidRPr="00714318" w:rsidRDefault="00714318" w:rsidP="00714318">
      <w:pPr>
        <w:keepNext/>
        <w:spacing w:after="6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8" w:name="_Toc232909695"/>
      <w:bookmarkStart w:id="139" w:name="_Toc232912304"/>
      <w:bookmarkStart w:id="140" w:name="_Toc241572481"/>
      <w:bookmarkEnd w:id="13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Заключение </w:t>
      </w:r>
      <w:bookmarkEnd w:id="138"/>
      <w:bookmarkEnd w:id="139"/>
      <w:bookmarkEnd w:id="140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купли-продажи</w:t>
      </w:r>
    </w:p>
    <w:p w:rsidR="00714318" w:rsidRPr="00714318" w:rsidRDefault="00714318" w:rsidP="00714318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2.14.1.  Договор купли-продажи заключается на условиях, указанных в извещении о проведении настоящего аукциона и информационной карте аукциона с победителем аукциона  по цене, предложенной участником  с которым заключается договор.</w:t>
      </w:r>
    </w:p>
    <w:p w:rsidR="00714318" w:rsidRPr="00714318" w:rsidRDefault="00714318" w:rsidP="00714318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в силу отсутствия заявок, либо участия в нём одного покупателя, комиссия выносит решение о проведении новых торгов по продаже имущества ранее установленным способом в период, в течение которого действует рыночная стоимость объекта оценки, указанная в отчете об оценке. В случае принятия Главой рабочего поселка Посевная </w:t>
      </w:r>
      <w:proofErr w:type="spell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решения о продаже муниципального имущества путем публичного предложения организатор торгов осуществляет его продажу в порядке, установленном законом.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2.14.2.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 неправомерного допуска к участию в аукционе по причине </w:t>
      </w:r>
      <w:bookmarkStart w:id="141" w:name="sub_1933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таким лицом заведомо ложных сведений, содержащихся в документах, предусмотренных настоящими Правилами. В случае отказа от заключения договора с победителем аукциона (участником аукциона) по указанным  причинам, организатором аукциона в течение двух рабочих дней  ему направляется уведомление о причинах отказа от заключения договора.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sub_1094"/>
      <w:bookmarkEnd w:id="141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2.14.3.Договор купли-продажи должен быть подписан лицом, с которым заключается договор в сроки, указанные в Информационной карте аукциона.</w:t>
      </w:r>
      <w:bookmarkStart w:id="143" w:name="sub_1097"/>
      <w:bookmarkStart w:id="144" w:name="sub_1098"/>
      <w:bookmarkEnd w:id="142"/>
      <w:bookmarkEnd w:id="143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2.14.4. При уклонении или отказе победителя аукциона от заключения в 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2.14.5. Если было установлено требование о внесении задатка  на участие в аукционе, организатор аукциона, в случае отсутствия иных распоряжений участника аукциона, с которым заключён договор купли-продажи, перечисляет задаток в счет оплаты приватизируемого имущества в бюджет муниципального образования  в течение пяти дней со дня заключения договора купли-продажи. 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2.14.6. Договор купли-продажи считается заключенным с момента его подписания.</w:t>
      </w:r>
    </w:p>
    <w:p w:rsidR="00714318" w:rsidRPr="00714318" w:rsidRDefault="00714318" w:rsidP="00714318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5" w:name="_Toc232909696"/>
      <w:bookmarkStart w:id="146" w:name="_Toc232912305"/>
      <w:bookmarkStart w:id="147" w:name="_Toc241572482"/>
      <w:bookmarkEnd w:id="144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2.15. </w:t>
      </w:r>
      <w:bookmarkEnd w:id="145"/>
      <w:bookmarkEnd w:id="146"/>
      <w:bookmarkEnd w:id="147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договора купли-продажи  победителем аукциона.</w:t>
      </w:r>
    </w:p>
    <w:p w:rsidR="00714318" w:rsidRPr="00714318" w:rsidRDefault="00714318" w:rsidP="00714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аукциона, с которым заключается договор купли-продажи, должен предоставить организатору аукциона  платёжный документ, подтверждающий внесение денежных средств в уплату стоимости муниципального имущества, сложившейся в ходе аукциона и указанной в  договоре купли-продажи. </w:t>
      </w:r>
    </w:p>
    <w:p w:rsidR="00714318" w:rsidRPr="00714318" w:rsidRDefault="00714318" w:rsidP="00714318">
      <w:pPr>
        <w:keepNext/>
        <w:spacing w:after="6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8" w:name="_Toc221338499"/>
      <w:bookmarkStart w:id="149" w:name="_Toc221338917"/>
      <w:bookmarkStart w:id="150" w:name="_Toc232909697"/>
      <w:bookmarkStart w:id="151" w:name="_Toc232912306"/>
      <w:bookmarkStart w:id="152" w:name="_Toc241572483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2.16. Признание аукциона </w:t>
      </w:r>
      <w:proofErr w:type="gramStart"/>
      <w:r w:rsidRPr="0071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bookmarkEnd w:id="148"/>
      <w:bookmarkEnd w:id="149"/>
      <w:bookmarkEnd w:id="150"/>
      <w:bookmarkEnd w:id="151"/>
      <w:bookmarkEnd w:id="152"/>
      <w:proofErr w:type="gramEnd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2.16.1. В случае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не подана ни одна заявка на участие в аукционе или подана лишь 1 заявка, аукцион признается несостоявшимся.</w:t>
      </w:r>
      <w:bookmarkStart w:id="153" w:name="sub_10148"/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2.16.2.</w:t>
      </w:r>
      <w:bookmarkEnd w:id="153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714318" w:rsidRPr="00714318" w:rsidRDefault="00714318" w:rsidP="0071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714318" w:rsidRPr="00714318" w:rsidRDefault="00714318" w:rsidP="00714318">
      <w:pPr>
        <w:tabs>
          <w:tab w:val="left" w:pos="7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2.16.3. В случае если, на основании результатов рассмотрения заявок на участие в аукционе принято решение об отказе в допуске к участию в аукционе всех частников аукциона, подавших заявки на участие в аукционе, или о признании только одного участника, подавшего заявку на участие в аукционе, участником аукциона, аукцион признается несостоявшимся.</w:t>
      </w:r>
    </w:p>
    <w:p w:rsidR="00714318" w:rsidRPr="00714318" w:rsidRDefault="00714318" w:rsidP="0071431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2.16.4. В случае</w:t>
      </w:r>
      <w:proofErr w:type="gramStart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не заключен с победителем аукциона в результате его уклонения от заключения договора купли-продажи, аукцион признается несостоявшимся, задаток ему не возвращается.</w:t>
      </w:r>
    </w:p>
    <w:p w:rsidR="007E0E50" w:rsidRDefault="007E0E50"/>
    <w:sectPr w:rsidR="007E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18"/>
    <w:rsid w:val="002C2D18"/>
    <w:rsid w:val="00484781"/>
    <w:rsid w:val="004D0BA8"/>
    <w:rsid w:val="004F2C59"/>
    <w:rsid w:val="006E0143"/>
    <w:rsid w:val="00714318"/>
    <w:rsid w:val="007C340D"/>
    <w:rsid w:val="007E0E50"/>
    <w:rsid w:val="00977D8F"/>
    <w:rsid w:val="00AE1A08"/>
    <w:rsid w:val="00D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," TargetMode="External"/><Relationship Id="rId11" Type="http://schemas.openxmlformats.org/officeDocument/2006/relationships/hyperlink" Target="garantF1://12025505.15" TargetMode="External"/><Relationship Id="rId5" Type="http://schemas.openxmlformats.org/officeDocument/2006/relationships/hyperlink" Target="garantf1://10064072.437/" TargetMode="External"/><Relationship Id="rId10" Type="http://schemas.openxmlformats.org/officeDocument/2006/relationships/hyperlink" Target="garantF1://890941.1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1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6037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2018-10-09T04:22:00Z</dcterms:created>
  <dcterms:modified xsi:type="dcterms:W3CDTF">2018-10-10T04:11:00Z</dcterms:modified>
</cp:coreProperties>
</file>